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E654" w14:textId="7E4E5679" w:rsidR="00841C5E" w:rsidRDefault="00841C5E" w:rsidP="00A2358E">
      <w:pPr>
        <w:jc w:val="both"/>
        <w:rPr>
          <w:rFonts w:ascii="Arial Narrow" w:hAnsi="Arial Narrow" w:cs="Times New Roman"/>
          <w:b/>
          <w:bCs/>
          <w:sz w:val="28"/>
          <w:szCs w:val="28"/>
        </w:rPr>
      </w:pPr>
      <w:bookmarkStart w:id="0" w:name="_GoBack"/>
      <w:bookmarkEnd w:id="0"/>
      <w:r w:rsidRPr="00841C5E">
        <w:rPr>
          <w:rFonts w:ascii="Arial Narrow" w:hAnsi="Arial Narrow" w:cs="Times New Roman"/>
          <w:b/>
          <w:bCs/>
          <w:sz w:val="28"/>
          <w:szCs w:val="28"/>
        </w:rPr>
        <w:t>Szkolenie</w:t>
      </w:r>
      <w:r w:rsidR="009A4736">
        <w:rPr>
          <w:rFonts w:ascii="Arial Narrow" w:hAnsi="Arial Narrow" w:cs="Times New Roman"/>
          <w:b/>
          <w:bCs/>
          <w:sz w:val="28"/>
          <w:szCs w:val="28"/>
        </w:rPr>
        <w:t xml:space="preserve"> pt.: „Ulga na ekspansję</w:t>
      </w:r>
      <w:r w:rsidR="00CD5A6B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927608">
        <w:rPr>
          <w:rFonts w:ascii="Arial Narrow" w:hAnsi="Arial Narrow" w:cs="Times New Roman"/>
          <w:b/>
          <w:bCs/>
          <w:sz w:val="28"/>
          <w:szCs w:val="28"/>
        </w:rPr>
        <w:t>–</w:t>
      </w:r>
      <w:r w:rsidR="009A4736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927608">
        <w:rPr>
          <w:rFonts w:ascii="Arial Narrow" w:hAnsi="Arial Narrow" w:cs="Times New Roman"/>
          <w:b/>
          <w:bCs/>
          <w:sz w:val="28"/>
          <w:szCs w:val="28"/>
        </w:rPr>
        <w:t xml:space="preserve">jak działa </w:t>
      </w:r>
      <w:r w:rsidR="009A4736">
        <w:rPr>
          <w:rFonts w:ascii="Arial Narrow" w:hAnsi="Arial Narrow" w:cs="Times New Roman"/>
          <w:b/>
          <w:bCs/>
          <w:sz w:val="28"/>
          <w:szCs w:val="28"/>
        </w:rPr>
        <w:t>nowa ulga</w:t>
      </w:r>
      <w:r w:rsidR="00927608">
        <w:rPr>
          <w:rFonts w:ascii="Arial Narrow" w:hAnsi="Arial Narrow" w:cs="Times New Roman"/>
          <w:b/>
          <w:bCs/>
          <w:sz w:val="28"/>
          <w:szCs w:val="28"/>
        </w:rPr>
        <w:t xml:space="preserve"> podatkowa</w:t>
      </w:r>
      <w:r w:rsidR="009A4736">
        <w:rPr>
          <w:rFonts w:ascii="Arial Narrow" w:hAnsi="Arial Narrow" w:cs="Times New Roman"/>
          <w:b/>
          <w:bCs/>
          <w:sz w:val="28"/>
          <w:szCs w:val="28"/>
        </w:rPr>
        <w:t xml:space="preserve"> wspierająca rozwój firm</w:t>
      </w:r>
      <w:r w:rsidR="00927608">
        <w:rPr>
          <w:rFonts w:ascii="Arial Narrow" w:hAnsi="Arial Narrow" w:cs="Times New Roman"/>
          <w:b/>
          <w:bCs/>
          <w:sz w:val="28"/>
          <w:szCs w:val="28"/>
        </w:rPr>
        <w:t>?</w:t>
      </w:r>
      <w:r w:rsidR="009A4736">
        <w:rPr>
          <w:rFonts w:ascii="Arial Narrow" w:hAnsi="Arial Narrow" w:cs="Times New Roman"/>
          <w:b/>
          <w:bCs/>
          <w:sz w:val="28"/>
          <w:szCs w:val="28"/>
        </w:rPr>
        <w:t>”</w:t>
      </w:r>
    </w:p>
    <w:p w14:paraId="4BD1631E" w14:textId="39C5E738" w:rsidR="009A4736" w:rsidRDefault="000A44AB" w:rsidP="00A2358E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Opis szkolenia</w:t>
      </w:r>
      <w:r w:rsidR="00841C5E" w:rsidRPr="00841C5E">
        <w:rPr>
          <w:rFonts w:ascii="Arial Narrow" w:hAnsi="Arial Narrow" w:cs="Times New Roman"/>
          <w:b/>
          <w:bCs/>
          <w:sz w:val="24"/>
          <w:szCs w:val="24"/>
        </w:rPr>
        <w:t>:</w:t>
      </w:r>
      <w:r w:rsidR="00841C5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Ekspansja firmy wymaga dużych nakładów: marketing, poszukiwanie pośredników, podwykonawców, koszty wejścia na nowe rynki. Za 2022 rok po raz pierwszy będzie można odliczyć od podatku tzw. ulgę na ekspansję, która </w:t>
      </w:r>
      <w:r w:rsidR="00C31F32">
        <w:rPr>
          <w:rFonts w:ascii="Arial Narrow" w:hAnsi="Arial Narrow" w:cs="Times New Roman"/>
          <w:sz w:val="24"/>
          <w:szCs w:val="24"/>
        </w:rPr>
        <w:t>ma stanowić zachętę do podboju nowych rynków i rozszerzania oferty przedsiębiorstw. Ulga skierowana jest do firm, które sprzedają wytworzone przez siebie towary i w związku z tym ponoszą wydatki na reklamę, certyfikację, rejestrację znaków towarowych, przygotowanie sprzedaży itp. Uczestnicy szkolenia dowiedzą się kto może skorzystać z ulgi oraz jakie są warunki odliczenia podatku – wiedza zostanie przekazana na przykładach z różnych branż.</w:t>
      </w:r>
    </w:p>
    <w:p w14:paraId="3825A09B" w14:textId="4AC4E9A9" w:rsidR="00A2358E" w:rsidRPr="00A2358E" w:rsidRDefault="00A2358E" w:rsidP="00A2358E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Plan </w:t>
      </w:r>
      <w:r w:rsidRPr="00841C5E">
        <w:rPr>
          <w:rFonts w:ascii="Arial Narrow" w:hAnsi="Arial Narrow" w:cs="Times New Roman"/>
          <w:b/>
          <w:bCs/>
          <w:sz w:val="24"/>
          <w:szCs w:val="24"/>
        </w:rPr>
        <w:t>szkolenia:</w:t>
      </w:r>
    </w:p>
    <w:p w14:paraId="29EB16AC" w14:textId="21A37EA0" w:rsidR="00CD5A6B" w:rsidRDefault="00C31F32" w:rsidP="009A4736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Korzyści podatkowe – ile można zaoszczędzić wykorzystując ulgę na ekspansję</w:t>
      </w:r>
      <w:r w:rsidR="00927608">
        <w:rPr>
          <w:rFonts w:ascii="Arial Narrow" w:hAnsi="Arial Narrow" w:cs="Times New Roman"/>
          <w:sz w:val="24"/>
          <w:szCs w:val="24"/>
        </w:rPr>
        <w:t>.</w:t>
      </w:r>
    </w:p>
    <w:p w14:paraId="6356EA97" w14:textId="35D759F9" w:rsidR="00927608" w:rsidRDefault="00927608" w:rsidP="009A4736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Jaka firma może skorzystać z ulgi na ekspansję? Definicja „rzeczy wytworzonych przez podatnika”.</w:t>
      </w:r>
    </w:p>
    <w:p w14:paraId="753229C1" w14:textId="384BF1C8" w:rsidR="00927608" w:rsidRDefault="00927608" w:rsidP="009A4736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Katalog wydatków kwalifikowanych. Definicja działań „promocyjno-reklamowych”. </w:t>
      </w:r>
    </w:p>
    <w:p w14:paraId="0C1A4091" w14:textId="77777777" w:rsidR="00927608" w:rsidRDefault="00927608" w:rsidP="009A4736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Case study – wykorzystanie ulgi na przykładach. Kiedy skorzystanie z ulgi nie jest możliwe?</w:t>
      </w:r>
    </w:p>
    <w:p w14:paraId="0067303B" w14:textId="5D9D2DC1" w:rsidR="00C31F32" w:rsidRPr="00927608" w:rsidRDefault="00927608" w:rsidP="00A2358E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Wniosek o interpretację podatkową – jak zabezpieczyć skorzystanie z ulgi na ekspansję.</w:t>
      </w:r>
    </w:p>
    <w:p w14:paraId="7C9923B7" w14:textId="0BB6D71D" w:rsidR="00A2358E" w:rsidRPr="00A2358E" w:rsidRDefault="00A2358E" w:rsidP="00A2358E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Wykładowca: </w:t>
      </w:r>
      <w:r w:rsidRPr="00A2358E">
        <w:rPr>
          <w:rFonts w:ascii="Arial Narrow" w:hAnsi="Arial Narrow" w:cs="Times New Roman"/>
          <w:sz w:val="24"/>
          <w:szCs w:val="24"/>
        </w:rPr>
        <w:t>Mikołaj Duda</w:t>
      </w:r>
      <w:r>
        <w:rPr>
          <w:rFonts w:ascii="Arial Narrow" w:hAnsi="Arial Narrow" w:cs="Times New Roman"/>
          <w:sz w:val="24"/>
          <w:szCs w:val="24"/>
        </w:rPr>
        <w:t xml:space="preserve"> -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doradca podatkowy, autor lub współautor publikacji m. in. w Monitorze Podatkowym oraz publikacji wydawnictwa C.H. Beck (</w:t>
      </w:r>
      <w:r w:rsidR="000A3E79">
        <w:rPr>
          <w:rFonts w:ascii="Arial Narrow" w:hAnsi="Arial Narrow" w:cs="Times New Roman"/>
          <w:sz w:val="24"/>
          <w:szCs w:val="24"/>
        </w:rPr>
        <w:t>„</w:t>
      </w:r>
      <w:r>
        <w:rPr>
          <w:rFonts w:ascii="Arial Narrow" w:hAnsi="Arial Narrow" w:cs="Times New Roman"/>
          <w:sz w:val="24"/>
          <w:szCs w:val="24"/>
        </w:rPr>
        <w:t>Ordynacja podatkowa – komentarz</w:t>
      </w:r>
      <w:r w:rsidR="000A3E79">
        <w:rPr>
          <w:rFonts w:ascii="Arial Narrow" w:hAnsi="Arial Narrow" w:cs="Times New Roman"/>
          <w:sz w:val="24"/>
          <w:szCs w:val="24"/>
        </w:rPr>
        <w:t>”</w:t>
      </w:r>
      <w:r>
        <w:rPr>
          <w:rFonts w:ascii="Arial Narrow" w:hAnsi="Arial Narrow" w:cs="Times New Roman"/>
          <w:sz w:val="24"/>
          <w:szCs w:val="24"/>
        </w:rPr>
        <w:t xml:space="preserve">, </w:t>
      </w:r>
      <w:r w:rsidR="000A3E79">
        <w:rPr>
          <w:rFonts w:ascii="Arial Narrow" w:hAnsi="Arial Narrow" w:cs="Times New Roman"/>
          <w:sz w:val="24"/>
          <w:szCs w:val="24"/>
        </w:rPr>
        <w:t>„</w:t>
      </w:r>
      <w:r>
        <w:rPr>
          <w:rFonts w:ascii="Arial Narrow" w:hAnsi="Arial Narrow" w:cs="Times New Roman"/>
          <w:sz w:val="24"/>
          <w:szCs w:val="24"/>
        </w:rPr>
        <w:t>Opinie w sprawach podatkowych dla doradców podatkowych</w:t>
      </w:r>
      <w:r w:rsidR="000A3E79">
        <w:rPr>
          <w:rFonts w:ascii="Arial Narrow" w:hAnsi="Arial Narrow" w:cs="Times New Roman"/>
          <w:sz w:val="24"/>
          <w:szCs w:val="24"/>
        </w:rPr>
        <w:t>”</w:t>
      </w:r>
      <w:r>
        <w:rPr>
          <w:rFonts w:ascii="Arial Narrow" w:hAnsi="Arial Narrow" w:cs="Times New Roman"/>
          <w:sz w:val="24"/>
          <w:szCs w:val="24"/>
        </w:rPr>
        <w:t xml:space="preserve">, </w:t>
      </w:r>
      <w:r w:rsidR="000A3E79">
        <w:rPr>
          <w:rFonts w:ascii="Arial Narrow" w:hAnsi="Arial Narrow" w:cs="Times New Roman"/>
          <w:sz w:val="24"/>
          <w:szCs w:val="24"/>
        </w:rPr>
        <w:t>„</w:t>
      </w:r>
      <w:r>
        <w:rPr>
          <w:rFonts w:ascii="Arial Narrow" w:hAnsi="Arial Narrow" w:cs="Times New Roman"/>
          <w:sz w:val="24"/>
          <w:szCs w:val="24"/>
        </w:rPr>
        <w:t>Egzamin na doradcę podatkowego – pytania otwarte</w:t>
      </w:r>
      <w:r w:rsidR="000A3E79">
        <w:rPr>
          <w:rFonts w:ascii="Arial Narrow" w:hAnsi="Arial Narrow" w:cs="Times New Roman"/>
          <w:sz w:val="24"/>
          <w:szCs w:val="24"/>
        </w:rPr>
        <w:t>”</w:t>
      </w:r>
      <w:r>
        <w:rPr>
          <w:rFonts w:ascii="Arial Narrow" w:hAnsi="Arial Narrow" w:cs="Times New Roman"/>
          <w:sz w:val="24"/>
          <w:szCs w:val="24"/>
        </w:rPr>
        <w:t>)</w:t>
      </w:r>
      <w:r w:rsidR="000A3E79">
        <w:rPr>
          <w:rFonts w:ascii="Arial Narrow" w:hAnsi="Arial Narrow" w:cs="Times New Roman"/>
          <w:sz w:val="24"/>
          <w:szCs w:val="24"/>
        </w:rPr>
        <w:t xml:space="preserve">, publikacji dziennika Rzeczpospolita („Kontrola fiskusa w firmie”), trener na szkoleniach z zakresu prawa podatkowego. </w:t>
      </w:r>
    </w:p>
    <w:sectPr w:rsidR="00A2358E" w:rsidRPr="00A2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EF1D" w14:textId="77777777" w:rsidR="0065236F" w:rsidRDefault="0065236F" w:rsidP="00C31F32">
      <w:pPr>
        <w:spacing w:after="0" w:line="240" w:lineRule="auto"/>
      </w:pPr>
      <w:r>
        <w:separator/>
      </w:r>
    </w:p>
  </w:endnote>
  <w:endnote w:type="continuationSeparator" w:id="0">
    <w:p w14:paraId="52CD41B9" w14:textId="77777777" w:rsidR="0065236F" w:rsidRDefault="0065236F" w:rsidP="00C3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3C8E" w14:textId="77777777" w:rsidR="0065236F" w:rsidRDefault="0065236F" w:rsidP="00C31F32">
      <w:pPr>
        <w:spacing w:after="0" w:line="240" w:lineRule="auto"/>
      </w:pPr>
      <w:r>
        <w:separator/>
      </w:r>
    </w:p>
  </w:footnote>
  <w:footnote w:type="continuationSeparator" w:id="0">
    <w:p w14:paraId="25B7625B" w14:textId="77777777" w:rsidR="0065236F" w:rsidRDefault="0065236F" w:rsidP="00C3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C0A"/>
    <w:multiLevelType w:val="hybridMultilevel"/>
    <w:tmpl w:val="029A4764"/>
    <w:lvl w:ilvl="0" w:tplc="1AA2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A3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E6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C6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E2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06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C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2C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E8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B3A91"/>
    <w:multiLevelType w:val="hybridMultilevel"/>
    <w:tmpl w:val="F7C2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D56BD"/>
    <w:multiLevelType w:val="hybridMultilevel"/>
    <w:tmpl w:val="48820044"/>
    <w:lvl w:ilvl="0" w:tplc="8DF0C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31B2"/>
    <w:multiLevelType w:val="hybridMultilevel"/>
    <w:tmpl w:val="929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49"/>
    <w:rsid w:val="000A3E79"/>
    <w:rsid w:val="000A44AB"/>
    <w:rsid w:val="00390FDE"/>
    <w:rsid w:val="005E7F6A"/>
    <w:rsid w:val="0065236F"/>
    <w:rsid w:val="00666349"/>
    <w:rsid w:val="007E308F"/>
    <w:rsid w:val="00841C5E"/>
    <w:rsid w:val="008B7C97"/>
    <w:rsid w:val="00927608"/>
    <w:rsid w:val="009A4736"/>
    <w:rsid w:val="009B4CAF"/>
    <w:rsid w:val="00A2358E"/>
    <w:rsid w:val="00AC1200"/>
    <w:rsid w:val="00C31F32"/>
    <w:rsid w:val="00C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0369"/>
  <w15:chartTrackingRefBased/>
  <w15:docId w15:val="{85799412-E254-4B0E-B8C8-58940E3C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5A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F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1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Duda | MADEJCZYK Kancelaria Prawna</dc:creator>
  <cp:keywords/>
  <dc:description/>
  <cp:lastModifiedBy>Ilona</cp:lastModifiedBy>
  <cp:revision>2</cp:revision>
  <dcterms:created xsi:type="dcterms:W3CDTF">2022-09-08T14:42:00Z</dcterms:created>
  <dcterms:modified xsi:type="dcterms:W3CDTF">2022-09-08T14:42:00Z</dcterms:modified>
</cp:coreProperties>
</file>